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4F9C1EB7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Termin: 1</w:t>
      </w:r>
      <w:r w:rsidR="004A270A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.</w:t>
      </w:r>
      <w:r w:rsidR="004A270A">
        <w:rPr>
          <w:rFonts w:ascii="Century Gothic" w:hAnsi="Century Gothic"/>
          <w:b/>
        </w:rPr>
        <w:t>12</w:t>
      </w:r>
      <w:r>
        <w:rPr>
          <w:rFonts w:ascii="Century Gothic" w:hAnsi="Century Gothic"/>
          <w:b/>
        </w:rPr>
        <w:t>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Seminarkosten: 85,00 €</w:t>
      </w:r>
    </w:p>
    <w:p w14:paraId="01B15AFD" w14:textId="77777777" w:rsidR="00697EC6" w:rsidRPr="0051603D" w:rsidRDefault="00697EC6" w:rsidP="00A00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33A546DB" w14:textId="77777777" w:rsidR="006B2608" w:rsidRPr="00367C0A" w:rsidRDefault="006B2608" w:rsidP="006B2608">
      <w:pPr>
        <w:rPr>
          <w:rFonts w:ascii="Century Gothic" w:hAnsi="Century Gothic" w:cstheme="majorHAnsi"/>
          <w:b/>
          <w:bCs/>
        </w:rPr>
      </w:pPr>
      <w:r w:rsidRPr="00367C0A">
        <w:rPr>
          <w:rFonts w:ascii="Century Gothic" w:hAnsi="Century Gothic" w:cstheme="majorHAnsi"/>
          <w:b/>
          <w:bCs/>
        </w:rPr>
        <w:t xml:space="preserve">Zwischen Sollen und Sein – </w:t>
      </w:r>
    </w:p>
    <w:p w14:paraId="669C011E" w14:textId="77777777" w:rsidR="006B2608" w:rsidRPr="00295D03" w:rsidRDefault="006B2608" w:rsidP="006B2608">
      <w:pPr>
        <w:rPr>
          <w:rFonts w:ascii="Century Gothic" w:hAnsi="Century Gothic"/>
          <w:b/>
        </w:rPr>
      </w:pPr>
      <w:r w:rsidRPr="00367C0A">
        <w:rPr>
          <w:rFonts w:ascii="Century Gothic" w:hAnsi="Century Gothic" w:cstheme="majorHAnsi"/>
          <w:b/>
          <w:bCs/>
        </w:rPr>
        <w:t>Das Berufliche Spannungsfeld der Praxisanleiter*innen</w:t>
      </w:r>
      <w:r>
        <w:rPr>
          <w:rFonts w:ascii="Century Gothic" w:hAnsi="Century Gothic"/>
          <w:b/>
        </w:rPr>
        <w:t xml:space="preserve"> </w:t>
      </w:r>
      <w:r w:rsidRPr="00295D03">
        <w:rPr>
          <w:rFonts w:ascii="Century Gothic" w:hAnsi="Century Gothic"/>
          <w:b/>
        </w:rPr>
        <w:t>(08:00 Uhr bis 11:20 Uhr)</w:t>
      </w:r>
    </w:p>
    <w:p w14:paraId="09E3D9A2" w14:textId="77777777" w:rsidR="006B2608" w:rsidRPr="00C65BC2" w:rsidRDefault="006B2608" w:rsidP="006B2608">
      <w:pPr>
        <w:ind w:left="1416" w:hanging="1416"/>
        <w:jc w:val="both"/>
        <w:rPr>
          <w:rFonts w:ascii="Century Gothic" w:hAnsi="Century Gothic" w:cstheme="majorHAnsi"/>
          <w:sz w:val="12"/>
          <w:szCs w:val="12"/>
          <w:lang w:val="en-US"/>
        </w:rPr>
      </w:pPr>
    </w:p>
    <w:p w14:paraId="0520C764" w14:textId="77777777" w:rsidR="006B2608" w:rsidRPr="00367C0A" w:rsidRDefault="006B2608" w:rsidP="006B2608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proofErr w:type="spellStart"/>
      <w:r w:rsidRPr="00367C0A">
        <w:rPr>
          <w:rFonts w:ascii="Century Gothic" w:hAnsi="Century Gothic" w:cstheme="majorHAnsi"/>
          <w:sz w:val="20"/>
          <w:szCs w:val="20"/>
          <w:lang w:val="en-US"/>
        </w:rPr>
        <w:t>Inhalte</w:t>
      </w:r>
      <w:proofErr w:type="spellEnd"/>
      <w:r w:rsidRPr="00367C0A">
        <w:rPr>
          <w:rFonts w:ascii="Century Gothic" w:hAnsi="Century Gothic" w:cstheme="majorHAnsi"/>
          <w:sz w:val="20"/>
          <w:szCs w:val="20"/>
          <w:lang w:val="en-US"/>
        </w:rPr>
        <w:t>:</w:t>
      </w:r>
      <w:r w:rsidRPr="00367C0A">
        <w:rPr>
          <w:rFonts w:ascii="Century Gothic" w:hAnsi="Century Gothic" w:cstheme="majorHAnsi"/>
          <w:sz w:val="20"/>
          <w:szCs w:val="20"/>
          <w:lang w:val="en-US"/>
        </w:rPr>
        <w:tab/>
        <w:t xml:space="preserve">Was </w:t>
      </w:r>
      <w:proofErr w:type="spellStart"/>
      <w:r w:rsidRPr="00367C0A">
        <w:rPr>
          <w:rFonts w:ascii="Century Gothic" w:hAnsi="Century Gothic" w:cstheme="majorHAnsi"/>
          <w:sz w:val="20"/>
          <w:szCs w:val="20"/>
          <w:lang w:val="en-US"/>
        </w:rPr>
        <w:t>ist</w:t>
      </w:r>
      <w:proofErr w:type="spellEnd"/>
      <w:r w:rsidRPr="00367C0A">
        <w:rPr>
          <w:rFonts w:ascii="Century Gothic" w:hAnsi="Century Gothic" w:cstheme="majorHAnsi"/>
          <w:sz w:val="20"/>
          <w:szCs w:val="20"/>
          <w:lang w:val="en-US"/>
        </w:rPr>
        <w:t xml:space="preserve"> Cool-out? </w:t>
      </w:r>
      <w:r w:rsidRPr="00367C0A">
        <w:rPr>
          <w:rFonts w:ascii="Century Gothic" w:hAnsi="Century Gothic" w:cstheme="majorHAnsi"/>
          <w:sz w:val="20"/>
          <w:szCs w:val="20"/>
        </w:rPr>
        <w:t xml:space="preserve">Abgrenzung zum Burn-out, Erkennen der verschiedenen Reaktionsmuster des Cool-outs, die eigene Motivation/Rollenverständnis von Praxisanleiter*innen, Vermeidung von Cool-out. </w:t>
      </w:r>
    </w:p>
    <w:p w14:paraId="558DE8E5" w14:textId="77777777" w:rsidR="006B2608" w:rsidRPr="00367C0A" w:rsidRDefault="006B2608" w:rsidP="006B2608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367C0A">
        <w:rPr>
          <w:rFonts w:ascii="Century Gothic" w:hAnsi="Century Gothic" w:cstheme="majorHAnsi"/>
          <w:sz w:val="20"/>
          <w:szCs w:val="20"/>
        </w:rPr>
        <w:t>In diesem Seminar lernen die Teilnehmer*innen die Theorie des Cool-out und dessen Bedeutung für die Pflegeausbildung kennen. In diesem Zuge wird das berufliche Spannungsfeld der Praxisanleiter*innen, der Widerspruch in den Anforderungen an Praxisanleiter*innen sowie der Lösungsvorschlag -  Zeitgewinn durch neue zeitliche Freiräume und Reduktion des Zeitaufwandes bei der Anleitung – thematisiert und diskutiert.</w:t>
      </w:r>
    </w:p>
    <w:p w14:paraId="402C816B" w14:textId="77777777" w:rsidR="006B2608" w:rsidRPr="00367C0A" w:rsidRDefault="006B2608" w:rsidP="006B2608">
      <w:pPr>
        <w:ind w:left="1416"/>
        <w:jc w:val="both"/>
        <w:rPr>
          <w:rFonts w:ascii="Century Gothic" w:hAnsi="Century Gothic" w:cstheme="majorHAnsi"/>
          <w:color w:val="1F497D"/>
          <w:sz w:val="20"/>
          <w:szCs w:val="20"/>
        </w:rPr>
      </w:pPr>
    </w:p>
    <w:p w14:paraId="066DB2C0" w14:textId="77777777" w:rsidR="006B2608" w:rsidRPr="00367C0A" w:rsidRDefault="006B2608" w:rsidP="006B2608">
      <w:pPr>
        <w:ind w:left="1416" w:hanging="1416"/>
        <w:rPr>
          <w:rFonts w:ascii="Century Gothic" w:hAnsi="Century Gothic" w:cstheme="majorHAnsi"/>
          <w:sz w:val="20"/>
          <w:szCs w:val="20"/>
        </w:rPr>
      </w:pPr>
      <w:r w:rsidRPr="00367C0A">
        <w:rPr>
          <w:rFonts w:ascii="Century Gothic" w:hAnsi="Century Gothic" w:cstheme="majorHAnsi"/>
          <w:sz w:val="20"/>
          <w:szCs w:val="20"/>
        </w:rPr>
        <w:t xml:space="preserve">Dozentin:  </w:t>
      </w:r>
      <w:r w:rsidRPr="00367C0A">
        <w:rPr>
          <w:rFonts w:ascii="Century Gothic" w:hAnsi="Century Gothic" w:cstheme="majorHAnsi"/>
          <w:sz w:val="20"/>
          <w:szCs w:val="20"/>
        </w:rPr>
        <w:tab/>
        <w:t>Sonja Zulauf</w:t>
      </w:r>
    </w:p>
    <w:p w14:paraId="52BCB820" w14:textId="77777777" w:rsidR="007A04F2" w:rsidRDefault="007A04F2" w:rsidP="007A04F2">
      <w:pPr>
        <w:ind w:left="1416"/>
        <w:rPr>
          <w:rFonts w:ascii="Century Gothic" w:hAnsi="Century Gothic" w:cstheme="majorHAnsi"/>
          <w:sz w:val="20"/>
          <w:szCs w:val="20"/>
        </w:rPr>
      </w:pPr>
      <w:r w:rsidRPr="007A04F2">
        <w:rPr>
          <w:rFonts w:ascii="Century Gothic" w:hAnsi="Century Gothic" w:cstheme="majorHAnsi"/>
          <w:sz w:val="20"/>
          <w:szCs w:val="20"/>
        </w:rPr>
        <w:t xml:space="preserve">Pädagogin für Pflege- u. Gesundheitsberufe, </w:t>
      </w:r>
    </w:p>
    <w:p w14:paraId="784F9817" w14:textId="1BB3908A" w:rsidR="007A04F2" w:rsidRPr="007A04F2" w:rsidRDefault="007A04F2" w:rsidP="007A04F2">
      <w:pPr>
        <w:ind w:left="1416"/>
        <w:rPr>
          <w:rFonts w:ascii="Century Gothic" w:hAnsi="Century Gothic" w:cstheme="majorHAnsi"/>
          <w:sz w:val="20"/>
          <w:szCs w:val="20"/>
        </w:rPr>
      </w:pPr>
      <w:r w:rsidRPr="007A04F2">
        <w:rPr>
          <w:rFonts w:ascii="Century Gothic" w:hAnsi="Century Gothic" w:cstheme="majorHAnsi"/>
          <w:sz w:val="20"/>
          <w:szCs w:val="20"/>
        </w:rPr>
        <w:t>Gesundheits- und Krankenpflegerin</w:t>
      </w:r>
    </w:p>
    <w:p w14:paraId="46403290" w14:textId="77777777" w:rsidR="00143CB8" w:rsidRPr="00FA3117" w:rsidRDefault="00143CB8" w:rsidP="00143CB8">
      <w:pPr>
        <w:pStyle w:val="KeinLeerraum"/>
        <w:jc w:val="both"/>
        <w:rPr>
          <w:rFonts w:ascii="Century Gothic" w:hAnsi="Century Gothic"/>
          <w:sz w:val="20"/>
          <w:szCs w:val="20"/>
        </w:rPr>
      </w:pPr>
    </w:p>
    <w:p w14:paraId="3C121420" w14:textId="77777777" w:rsidR="0051603D" w:rsidRPr="009D2B5D" w:rsidRDefault="0051603D" w:rsidP="0051603D">
      <w:pPr>
        <w:rPr>
          <w:rFonts w:ascii="Century Gothic" w:hAnsi="Century Gothic"/>
          <w:b/>
        </w:rPr>
      </w:pPr>
      <w:r w:rsidRPr="009D2B5D">
        <w:rPr>
          <w:rFonts w:ascii="Century Gothic" w:hAnsi="Century Gothic"/>
          <w:b/>
        </w:rPr>
        <w:t>Hintergründe einer modernen Pflegeausbildung in Theorie und Praxis</w:t>
      </w:r>
    </w:p>
    <w:p w14:paraId="1C9AE233" w14:textId="77777777" w:rsidR="0051603D" w:rsidRPr="00DD5970" w:rsidRDefault="0051603D" w:rsidP="005160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</w:t>
      </w:r>
      <w:r w:rsidRPr="00B114EF">
        <w:rPr>
          <w:rFonts w:ascii="Century Gothic" w:hAnsi="Century Gothic"/>
          <w:b/>
        </w:rPr>
        <w:t>(11:35 Uhr bis 15:05 Uhr)</w:t>
      </w:r>
    </w:p>
    <w:p w14:paraId="723B4276" w14:textId="77777777" w:rsidR="0051603D" w:rsidRPr="007A04F2" w:rsidRDefault="0051603D" w:rsidP="0051603D">
      <w:pPr>
        <w:jc w:val="both"/>
        <w:rPr>
          <w:rFonts w:ascii="Century Gothic" w:hAnsi="Century Gothic" w:cstheme="majorHAnsi"/>
          <w:sz w:val="12"/>
          <w:szCs w:val="12"/>
        </w:rPr>
      </w:pPr>
    </w:p>
    <w:p w14:paraId="63ED96E9" w14:textId="6247A96A" w:rsidR="0051603D" w:rsidRPr="007D3BB7" w:rsidRDefault="0051603D" w:rsidP="0051603D">
      <w:p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Inhalt:</w:t>
      </w:r>
      <w:r w:rsidRPr="007D3BB7">
        <w:rPr>
          <w:rFonts w:ascii="Century Gothic" w:hAnsi="Century Gothic" w:cstheme="majorHAnsi"/>
          <w:sz w:val="20"/>
          <w:szCs w:val="20"/>
        </w:rPr>
        <w:tab/>
      </w:r>
      <w:r w:rsidRPr="007D3BB7">
        <w:rPr>
          <w:rFonts w:ascii="Century Gothic" w:hAnsi="Century Gothic" w:cstheme="majorHAnsi"/>
          <w:sz w:val="20"/>
          <w:szCs w:val="20"/>
        </w:rPr>
        <w:tab/>
        <w:t xml:space="preserve">-    Fächer haben ausgedient. Verständnis von CE,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Lernfeldorientie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>-</w:t>
      </w:r>
    </w:p>
    <w:p w14:paraId="2CC35F42" w14:textId="77777777" w:rsidR="0051603D" w:rsidRPr="007D3BB7" w:rsidRDefault="0051603D" w:rsidP="0051603D">
      <w:pPr>
        <w:ind w:left="1068" w:firstLine="708"/>
        <w:jc w:val="both"/>
        <w:rPr>
          <w:rFonts w:ascii="Century Gothic" w:hAnsi="Century Gothic" w:cstheme="majorHAnsi"/>
          <w:sz w:val="20"/>
          <w:szCs w:val="20"/>
        </w:rPr>
      </w:pPr>
      <w:proofErr w:type="spellStart"/>
      <w:r w:rsidRPr="007D3BB7">
        <w:rPr>
          <w:rFonts w:ascii="Century Gothic" w:hAnsi="Century Gothic" w:cstheme="majorHAnsi"/>
          <w:sz w:val="20"/>
          <w:szCs w:val="20"/>
        </w:rPr>
        <w:t>rung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>, Fallorientierung</w:t>
      </w:r>
    </w:p>
    <w:p w14:paraId="5E2A2F0E" w14:textId="77777777" w:rsidR="0051603D" w:rsidRPr="007D3BB7" w:rsidRDefault="0051603D" w:rsidP="0051603D">
      <w:pPr>
        <w:pStyle w:val="Listenabsatz"/>
        <w:numPr>
          <w:ilvl w:val="0"/>
          <w:numId w:val="14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Pflegefachfrau / -mann (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PflBG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PflAPrV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PflegeschulenV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Handreichung für die Pflegeausbildung am Lernort Pflegeschule (BIBB), Rahmenlehrpläne der Fachkommission nach § 53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PflBG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>, Fazit Ausbildungsverständnis)</w:t>
      </w:r>
    </w:p>
    <w:p w14:paraId="135C2240" w14:textId="77777777" w:rsidR="0051603D" w:rsidRPr="007D3BB7" w:rsidRDefault="0051603D" w:rsidP="0051603D">
      <w:pPr>
        <w:pStyle w:val="Listenabsatz"/>
        <w:numPr>
          <w:ilvl w:val="0"/>
          <w:numId w:val="14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Altenpflegehilfe (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HAltPflHG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AltenpflV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 HE)</w:t>
      </w:r>
    </w:p>
    <w:p w14:paraId="509AB5E2" w14:textId="77777777" w:rsidR="0051603D" w:rsidRPr="007D3BB7" w:rsidRDefault="0051603D" w:rsidP="0051603D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Informationen zur WPO-Pflege Hessen (Weiterbildung)</w:t>
      </w:r>
    </w:p>
    <w:p w14:paraId="5A4087A0" w14:textId="77777777" w:rsidR="0051603D" w:rsidRPr="007D3BB7" w:rsidRDefault="0051603D" w:rsidP="0051603D">
      <w:pPr>
        <w:pStyle w:val="Listenabsatz"/>
        <w:spacing w:after="0" w:line="240" w:lineRule="auto"/>
        <w:ind w:left="177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</w:p>
    <w:p w14:paraId="789FEDDF" w14:textId="77777777" w:rsidR="0051603D" w:rsidRPr="007D3BB7" w:rsidRDefault="0051603D" w:rsidP="0051603D">
      <w:p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Dozent:</w:t>
      </w:r>
      <w:r w:rsidRPr="007D3BB7">
        <w:rPr>
          <w:rFonts w:ascii="Century Gothic" w:hAnsi="Century Gothic" w:cstheme="majorHAnsi"/>
          <w:sz w:val="20"/>
          <w:szCs w:val="20"/>
        </w:rPr>
        <w:tab/>
        <w:t>Thomas Müller</w:t>
      </w:r>
    </w:p>
    <w:p w14:paraId="2A7581AB" w14:textId="77777777" w:rsidR="0051603D" w:rsidRPr="007D3BB7" w:rsidRDefault="0051603D" w:rsidP="0051603D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Gesundheits- und Pflegepädagoge</w:t>
      </w:r>
    </w:p>
    <w:p w14:paraId="3D6F5C75" w14:textId="77777777" w:rsidR="001C2F18" w:rsidRPr="00B114EF" w:rsidRDefault="001C2F18" w:rsidP="00B114E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26BC41F5" w14:textId="68A3818F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4A7C6A7E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0237A644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2386EB2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04A568C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Arbeitgeber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7A04F2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7A04F2">
        <w:rPr>
          <w:rFonts w:ascii="Century Gothic" w:hAnsi="Century Gothic"/>
        </w:rPr>
      </w:r>
      <w:r w:rsidR="007A04F2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7A04F2">
        <w:rPr>
          <w:rFonts w:ascii="Century Gothic" w:hAnsi="Century Gothic"/>
        </w:rPr>
      </w:r>
      <w:r w:rsidR="007A04F2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586C7D75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020166">
        <w:rPr>
          <w:rFonts w:ascii="Century Gothic" w:hAnsi="Century Gothic"/>
          <w:sz w:val="16"/>
          <w:szCs w:val="16"/>
        </w:rPr>
        <w:t>08.12.2021</w:t>
      </w:r>
      <w:r w:rsidR="00576738"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7A04F2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77777777" w:rsidR="00FA3117" w:rsidRDefault="007A04F2">
    <w:pPr>
      <w:pStyle w:val="Fuzeile"/>
    </w:pPr>
    <w:r>
      <w:rPr>
        <w:noProof/>
      </w:rPr>
      <w:pict w14:anchorId="7F7FABA9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3D2C4D55" w14:textId="77777777" w:rsidR="00FA3117" w:rsidRPr="00332129" w:rsidRDefault="00FA3117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679F8B98" w14:textId="77777777" w:rsidR="00FA3117" w:rsidRDefault="00FA3117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6EBB3EA0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205E7C5C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63D58F31" w14:textId="77777777" w:rsidR="00FA3117" w:rsidRPr="00514546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77777777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4F2">
      <w:rPr>
        <w:noProof/>
      </w:rPr>
      <w:pict w14:anchorId="117CE591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0E6E5B0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6506745E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durch </w:t>
                </w:r>
                <w:proofErr w:type="spellStart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CertEuropA</w:t>
                </w:r>
                <w:proofErr w:type="spellEnd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GmbH</w:t>
                </w:r>
              </w:p>
              <w:p w14:paraId="43AB157C" w14:textId="77777777" w:rsidR="00FA3117" w:rsidRPr="00AE19E0" w:rsidRDefault="00FA3117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B02A1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A270A"/>
    <w:rsid w:val="004B78C1"/>
    <w:rsid w:val="004F7C04"/>
    <w:rsid w:val="00514546"/>
    <w:rsid w:val="0051603D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4F2"/>
    <w:rsid w:val="007A0FE0"/>
    <w:rsid w:val="007D025C"/>
    <w:rsid w:val="0080601D"/>
    <w:rsid w:val="0083224E"/>
    <w:rsid w:val="0088240F"/>
    <w:rsid w:val="008B20B3"/>
    <w:rsid w:val="008B450B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A3EA4"/>
    <w:rsid w:val="00CF3787"/>
    <w:rsid w:val="00D02E0B"/>
    <w:rsid w:val="00D2510B"/>
    <w:rsid w:val="00D54F62"/>
    <w:rsid w:val="00D57800"/>
    <w:rsid w:val="00D67389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4</cp:revision>
  <cp:lastPrinted>2020-05-13T09:04:00Z</cp:lastPrinted>
  <dcterms:created xsi:type="dcterms:W3CDTF">2021-12-09T08:29:00Z</dcterms:created>
  <dcterms:modified xsi:type="dcterms:W3CDTF">2021-12-09T09:52:00Z</dcterms:modified>
</cp:coreProperties>
</file>